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tabs>
          <w:tab w:val="left" w:pos="54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GMHA Hyaluronan Hydrogels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40" w:hanging="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Jennie Leach </w:t>
      </w:r>
    </w:p>
    <w:p w:rsidR="00000000" w:rsidDel="00000000" w:rsidP="00000000" w:rsidRDefault="00000000" w:rsidRPr="00000000" w14:paraId="00000003">
      <w:pPr>
        <w:ind w:left="540" w:hanging="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University of Texas at Austin, June 2002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Published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Biotechnol Bioeng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82:578-89 (2003)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chemistry is a two-step process for making cross-linked hyaluronan (HA) hydrogels. The first step is the modification of HA with glycidyl methacrylate (GM) to yield GMHA conjugates; the second step is photocrosslinking at physiological conditions. The entire process takes about 2½ - 4 days.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 also similar published chemistries using GM and methacrylic anhydride (references below).</w:t>
      </w:r>
    </w:p>
    <w:p w:rsidR="00000000" w:rsidDel="00000000" w:rsidP="00000000" w:rsidRDefault="00000000" w:rsidRPr="00000000" w14:paraId="00000008">
      <w:pPr>
        <w:pStyle w:val="Heading1"/>
        <w:tabs>
          <w:tab w:val="left" w:pos="540"/>
        </w:tabs>
        <w:ind w:left="540" w:hanging="5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left" w:pos="540"/>
        </w:tabs>
        <w:ind w:left="540" w:hanging="54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0"/>
          <w:sz w:val="22"/>
          <w:szCs w:val="22"/>
          <w:u w:val="single"/>
          <w:vertAlign w:val="baseline"/>
          <w:rtl w:val="0"/>
        </w:rPr>
        <w:t xml:space="preserve">Preparation </w:t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Hyaluronan </w:t>
        <w:tab/>
        <w:tab/>
        <w:tab/>
        <w:tab/>
        <w:tab/>
        <w:tab/>
        <w:tab/>
        <w:tab/>
        <w:t xml:space="preserve">Collaborative Labs</w:t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Glycidyl methacrylate* </w:t>
        <w:tab/>
        <w:tab/>
        <w:tab/>
        <w:tab/>
        <w:tab/>
        <w:tab/>
        <w:tab/>
        <w:t xml:space="preserve">Aldrich 151238</w:t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Triethylamine* </w:t>
        <w:tab/>
        <w:tab/>
        <w:tab/>
        <w:tab/>
        <w:tab/>
        <w:tab/>
        <w:tab/>
        <w:tab/>
        <w:t xml:space="preserve">Aldrich 471283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Tetrabutyl ammonium bromide </w:t>
        <w:tab/>
        <w:tab/>
        <w:tab/>
        <w:tab/>
        <w:tab/>
        <w:tab/>
        <w:t xml:space="preserve">Fluka 86860 </w:t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Acetone</w:t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Phosphate buffered saline (PBS)</w:t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Irgacure 2959 </w:t>
        <w:tab/>
        <w:tab/>
        <w:tab/>
        <w:tab/>
        <w:tab/>
        <w:tab/>
        <w:tab/>
        <w:tab/>
        <w:t xml:space="preserve">Ciba Specialty Chemicals</w:t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Vinyl pyrrolidone* </w:t>
        <w:tab/>
        <w:tab/>
        <w:tab/>
        <w:tab/>
        <w:tab/>
        <w:tab/>
        <w:tab/>
        <w:t xml:space="preserve">Aldrich V340-9</w:t>
        <w:tab/>
        <w:tab/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* Hazardous component—be sure to read MSDS before use.</w:t>
      </w:r>
    </w:p>
    <w:p w:rsidR="00000000" w:rsidDel="00000000" w:rsidP="00000000" w:rsidRDefault="00000000" w:rsidRPr="00000000" w14:paraId="00000014">
      <w:pPr>
        <w:pStyle w:val="Heading1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0"/>
          <w:sz w:val="22"/>
          <w:szCs w:val="22"/>
          <w:u w:val="single"/>
          <w:vertAlign w:val="baseline"/>
          <w:rtl w:val="0"/>
        </w:rPr>
        <w:t xml:space="preserve">5% methacrylated GMHA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Dissolve 0.5g HA in 50 ml dI on a stir plate in a chemical fume hood. Thorough dissolution can take several hours to overnight.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Add the following components separately and in the following order: 1.0 ml triethylamine, 1.0 ml glycidyl methacrylate, 1.0 g tetrabutyl ammonium bromide. Thoroughly mix before adding the next component.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Mix at room temperature in a sealed flask in a chemical fume hood overnight.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Incubate the reaction at 50-60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°C for 1 h (open the flask seal slightly) and cool to room temperature.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Precipitate in acetone, using one part HA solution to 20 parts acetone.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Pour acetone into a large beaker and while stirring with a glass rod or pipet, slowly add the HA solution.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GMHA will precipitate as a cottony white solid.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the acetone starts getting cloudy and precipitation stops, start again with fresh acetone.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Rinse the precipitate in fresh acetone.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Thoroughly dissolve the precipitate in about 30 ml dI.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Repeat steps 5-7 to remove all residual excess reactants.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Lyophilize frozen solution 24-48 hours and store desiccated at –20 or 4°C.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verify the extent of methacrylation: make a 0.5% solution of GMHA with D</w:t>
      </w:r>
      <w:r w:rsidDel="00000000" w:rsidR="00000000" w:rsidRPr="00000000">
        <w:rPr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 and submit for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H-NMR. Compare the peak heights per proton of the HA methyl peaks (at 1.82 or 1.93) and methacrylate peaks (at 5.55 and 5.24).</w:t>
      </w:r>
    </w:p>
    <w:p w:rsidR="00000000" w:rsidDel="00000000" w:rsidP="00000000" w:rsidRDefault="00000000" w:rsidRPr="00000000" w14:paraId="00000023">
      <w:pPr>
        <w:pStyle w:val="Heading1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0"/>
          <w:sz w:val="22"/>
          <w:szCs w:val="22"/>
          <w:u w:val="single"/>
          <w:vertAlign w:val="baseline"/>
          <w:rtl w:val="0"/>
        </w:rPr>
        <w:t xml:space="preserve">Crosslinking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UV Lamp: Blak-ray B-100A (from UVP)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Vinyl pyrrolidinone (VP) acts as a reaction accelerant and co-monomer.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While concentrations of VP up to 3% produce more extensively cross-linked gels with shorter UV exposures, concentrations above 0.5% have been shown to be cytotoxic. Similarly, concentrations of 2959 above 0.1% have been shown to be cytotoxic to photo-encapsulated chondrocytes (Bryant, Nuttelman, Anseth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J Biomater Sci Polym Ed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2000, 11(5): 439-57)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first procedure below outlines 1-3% VP gels, which may have interesting material properties; the second procedure outlines a less cytotoxic procedure with 0.3% VP and PBS as the 2959 solvent.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Although initiation requires intense UV light, minimize the exposure of 2959 solutions to ambient light.</w:t>
      </w:r>
    </w:p>
    <w:p w:rsidR="00000000" w:rsidDel="00000000" w:rsidP="00000000" w:rsidRDefault="00000000" w:rsidRPr="00000000" w14:paraId="00000029">
      <w:pPr>
        <w:ind w:left="36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1-3% VP Gels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Make a 0.5-1.5% solution of GMHA in PBS and allow to dissolve thoroughly overnight.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Make a 250 mg/ml solution of IRGACURE 2959 in vinyl pyrrolidone. Store at room temp. in the dark.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Add 2959 solution** to the GM-HA solution in a chemical fume hood and mix well.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Expose to long-wave 365 nm UV light 0.5-4 minutes** to produce a solid gel.</w:t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0.3% VP Gels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Make a 1% 2959 solution in PBS. To dissolve, sonicate the solution and heat to 50°C until the 2959 is completely dissolved. Add 0.3% VP in a chemical fume hood. Store at room temperature in the dark.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Make a 0.5-1.5% GMHA solution in 2959/PBS/VP solution**; allow to dissolve thoroughly in the dark.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Expose to long-wave 365 nm UV light 0.5-4 minutes** to produce a solid gel.</w:t>
      </w:r>
    </w:p>
    <w:p w:rsidR="00000000" w:rsidDel="00000000" w:rsidP="00000000" w:rsidRDefault="00000000" w:rsidRPr="00000000" w14:paraId="00000035">
      <w:pPr>
        <w:ind w:left="3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** The amount of 2959, VP and UV exposure needed is determined experimentally and depends on the degree of methacrylation of the particular GMHA batch.</w:t>
      </w:r>
    </w:p>
    <w:p w:rsidR="00000000" w:rsidDel="00000000" w:rsidP="00000000" w:rsidRDefault="00000000" w:rsidRPr="00000000" w14:paraId="00000037">
      <w:pPr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Variables to Achieve Varying Degrees of Crosslinking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Modification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Molar excess GM, triethylamine, tetrabutyl ammonium bromide in reaction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Reaction temperature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Length of reaction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Crosslinking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Concentration of 2959, VP, GMHA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Intensity or time of UV exposure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Addition of other components (e.g., acrylated PEG)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Additional references on similar chemistries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Glycidyl Methacrylate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Jin, Yamanaka, Sato, et al.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Control Release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2001, 73: 173-81.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Trudel, Massia.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Biomaterials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2002, 23: 3299-3307.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Methacrylic Anhydride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Smeds, Pfister-Serres, Hatchell, Grinstaff.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J.M.S.—Pure Appl. Chem.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A36(7&amp;8): 981-9 (1999).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Smeds, Grinstaff.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JBMR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54:115-21 (2001).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1968500</wp:posOffset>
                </wp:positionV>
                <wp:extent cx="2638425" cy="9239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31550" y="332280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1968500</wp:posOffset>
                </wp:positionV>
                <wp:extent cx="2638425" cy="9239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1854200</wp:posOffset>
                </wp:positionV>
                <wp:extent cx="2638425" cy="1038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1550" y="326565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1854200</wp:posOffset>
                </wp:positionV>
                <wp:extent cx="2638425" cy="1038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540"/>
      </w:tabs>
      <w:ind w:left="540" w:hanging="540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sz w:val="22"/>
      <w:szCs w:val="22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tabs>
        <w:tab w:val="left" w:pos="910"/>
        <w:tab w:val="left" w:pos="1638"/>
      </w:tabs>
      <w:jc w:val="both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